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Hi, Emma. Perfect.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Lorenzo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see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8592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87803870906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you can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would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disabilitysmallbusiness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Ciara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Ladroma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Griffin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Sullivan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Griffin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2510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wardrobe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 Blanco: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 Stein: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ASL,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Taysia,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trademarked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Taysia.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MxT.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 Stein: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luggage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to be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wardrobes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 Blanco: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Lauderdale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I'm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anonymity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 Stein: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Taysia's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quarantine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 Blanco: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WCAG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bandwidth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developed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 Stein: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then I allow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me, and I had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love it?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 Blanco: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 Blanco: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anonymity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 Stein: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work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 Blanco: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 Blanco: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bandwidth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 Stein: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it's not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Shopify.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 Blanco: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incubators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onboarded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 Blanco: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synergieswork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incubators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ChatGPT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where we could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 Stein: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 Stein: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Omicron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thought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 Blanco: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starting.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maybe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 Stein: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This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toppings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 Stein: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 Blanco: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 Stein: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Instagram, MxT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wardrobe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 Blanco: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Q&amp;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MxT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Sullivan: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 Stein: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Sullivan: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get.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 Blanco: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knew that that was going to be something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Sullivan: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 Blanco: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 put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Sullivan: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rehabilitation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rehabilitation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Rehabilitation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 Stein: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clothing business, no.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expenditures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Sullivan: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Paola Blanco: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bootstrap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Sullivan: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Ciara Ladroma: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3:30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CDFI's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LLC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NDI Interview with Melody - Business Feasibility &amp; Creating a Plan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21,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